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7CD7" w14:textId="77262299" w:rsidR="009C382D" w:rsidRDefault="009C382D" w:rsidP="009C382D">
      <w:pPr>
        <w:spacing w:before="100" w:beforeAutospacing="1" w:after="100" w:afterAutospacing="1"/>
        <w:jc w:val="center"/>
        <w:rPr>
          <w:rFonts w:eastAsia="Times New Roman" w:cstheme="minorHAnsi"/>
          <w:b/>
          <w:bCs/>
          <w:sz w:val="28"/>
          <w:szCs w:val="28"/>
          <w:lang w:eastAsia="en-GB"/>
        </w:rPr>
      </w:pPr>
      <w:r w:rsidRPr="009C382D">
        <w:rPr>
          <w:rFonts w:eastAsia="Times New Roman" w:cstheme="minorHAnsi"/>
          <w:b/>
          <w:bCs/>
          <w:sz w:val="28"/>
          <w:szCs w:val="28"/>
          <w:lang w:eastAsia="en-GB"/>
        </w:rPr>
        <w:t>Post-16 Special Educational Needs (SEN) Suspension and Exclusion Policy</w:t>
      </w:r>
      <w:r w:rsidR="002E21FB">
        <w:rPr>
          <w:rFonts w:eastAsia="Times New Roman" w:cstheme="minorHAnsi"/>
          <w:b/>
          <w:bCs/>
          <w:sz w:val="28"/>
          <w:szCs w:val="28"/>
          <w:lang w:eastAsia="en-GB"/>
        </w:rPr>
        <w:t xml:space="preserve"> Statement</w:t>
      </w:r>
    </w:p>
    <w:p w14:paraId="5D0C4BCD" w14:textId="66CDB28A" w:rsidR="002E21FB" w:rsidRPr="009C382D" w:rsidRDefault="002E21FB" w:rsidP="009C382D">
      <w:pPr>
        <w:spacing w:before="100" w:beforeAutospacing="1" w:after="100" w:afterAutospacing="1"/>
        <w:jc w:val="center"/>
        <w:rPr>
          <w:rFonts w:eastAsia="Times New Roman" w:cstheme="minorHAnsi"/>
          <w:sz w:val="28"/>
          <w:szCs w:val="28"/>
          <w:lang w:eastAsia="en-GB"/>
        </w:rPr>
      </w:pPr>
      <w:r>
        <w:rPr>
          <w:rFonts w:eastAsia="Times New Roman" w:cstheme="minorHAnsi"/>
          <w:b/>
          <w:bCs/>
          <w:sz w:val="28"/>
          <w:szCs w:val="28"/>
          <w:lang w:eastAsia="en-GB"/>
        </w:rPr>
        <w:t>To be read as annex 1 of the Person Centred Behaviour Policy</w:t>
      </w:r>
    </w:p>
    <w:p w14:paraId="57F7F5B5" w14:textId="77777777" w:rsidR="009C382D" w:rsidRPr="009C382D" w:rsidRDefault="009C382D" w:rsidP="009C382D">
      <w:pPr>
        <w:spacing w:before="100" w:beforeAutospacing="1" w:after="100" w:afterAutospacing="1"/>
        <w:rPr>
          <w:rFonts w:eastAsia="Times New Roman" w:cstheme="minorHAnsi"/>
          <w:sz w:val="28"/>
          <w:szCs w:val="28"/>
          <w:lang w:eastAsia="en-GB"/>
        </w:rPr>
      </w:pPr>
      <w:r w:rsidRPr="009C382D">
        <w:rPr>
          <w:rFonts w:eastAsia="Times New Roman" w:cstheme="minorHAnsi"/>
          <w:b/>
          <w:bCs/>
          <w:sz w:val="28"/>
          <w:szCs w:val="28"/>
          <w:lang w:eastAsia="en-GB"/>
        </w:rPr>
        <w:t>1. Introduction</w:t>
      </w:r>
      <w:r w:rsidRPr="009C382D">
        <w:rPr>
          <w:rFonts w:eastAsia="Times New Roman" w:cstheme="minorHAnsi"/>
          <w:sz w:val="28"/>
          <w:szCs w:val="28"/>
          <w:lang w:eastAsia="en-GB"/>
        </w:rPr>
        <w:t xml:space="preserve"> This policy outlines the procedures and guidelines for suspensions and exclusions of post-16 learners with Special Educational Needs (SEN) under the UK’s statutory framework, including those with an Education, </w:t>
      </w:r>
      <w:proofErr w:type="gramStart"/>
      <w:r w:rsidRPr="009C382D">
        <w:rPr>
          <w:rFonts w:eastAsia="Times New Roman" w:cstheme="minorHAnsi"/>
          <w:sz w:val="28"/>
          <w:szCs w:val="28"/>
          <w:lang w:eastAsia="en-GB"/>
        </w:rPr>
        <w:t>Health</w:t>
      </w:r>
      <w:proofErr w:type="gramEnd"/>
      <w:r w:rsidRPr="009C382D">
        <w:rPr>
          <w:rFonts w:eastAsia="Times New Roman" w:cstheme="minorHAnsi"/>
          <w:sz w:val="28"/>
          <w:szCs w:val="28"/>
          <w:lang w:eastAsia="en-GB"/>
        </w:rPr>
        <w:t xml:space="preserve"> and Care Plan (EHCP). The policy is designed to ensure fairness, consistency, and compliance with the SEND Code of Practice (2015) and relevant post-16 statutory guidelines.</w:t>
      </w:r>
    </w:p>
    <w:p w14:paraId="5E9A0408" w14:textId="77777777" w:rsidR="009C382D" w:rsidRPr="009C382D" w:rsidRDefault="009C382D" w:rsidP="009C382D">
      <w:pPr>
        <w:spacing w:before="100" w:beforeAutospacing="1" w:after="100" w:afterAutospacing="1"/>
        <w:rPr>
          <w:rFonts w:eastAsia="Times New Roman" w:cstheme="minorHAnsi"/>
          <w:sz w:val="28"/>
          <w:szCs w:val="28"/>
          <w:lang w:eastAsia="en-GB"/>
        </w:rPr>
      </w:pPr>
      <w:r w:rsidRPr="009C382D">
        <w:rPr>
          <w:rFonts w:eastAsia="Times New Roman" w:cstheme="minorHAnsi"/>
          <w:b/>
          <w:bCs/>
          <w:sz w:val="28"/>
          <w:szCs w:val="28"/>
          <w:lang w:eastAsia="en-GB"/>
        </w:rPr>
        <w:t>2. Legal Framework</w:t>
      </w:r>
      <w:r w:rsidRPr="009C382D">
        <w:rPr>
          <w:rFonts w:eastAsia="Times New Roman" w:cstheme="minorHAnsi"/>
          <w:sz w:val="28"/>
          <w:szCs w:val="28"/>
          <w:lang w:eastAsia="en-GB"/>
        </w:rPr>
        <w:t xml:space="preserve"> This policy is informed by:</w:t>
      </w:r>
    </w:p>
    <w:p w14:paraId="55999A98" w14:textId="77777777" w:rsidR="009C382D" w:rsidRPr="009C382D" w:rsidRDefault="009C382D" w:rsidP="009C382D">
      <w:pPr>
        <w:numPr>
          <w:ilvl w:val="0"/>
          <w:numId w:val="4"/>
        </w:num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The SEND Code of Practice: 0 to 25 years (2015)</w:t>
      </w:r>
    </w:p>
    <w:p w14:paraId="00CCA472" w14:textId="77777777" w:rsidR="009C382D" w:rsidRPr="009C382D" w:rsidRDefault="009C382D" w:rsidP="009C382D">
      <w:pPr>
        <w:numPr>
          <w:ilvl w:val="0"/>
          <w:numId w:val="4"/>
        </w:num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The Children and Families Act 2014</w:t>
      </w:r>
    </w:p>
    <w:p w14:paraId="45CD5A1E" w14:textId="77777777" w:rsidR="009C382D" w:rsidRPr="009C382D" w:rsidRDefault="009C382D" w:rsidP="009C382D">
      <w:pPr>
        <w:numPr>
          <w:ilvl w:val="0"/>
          <w:numId w:val="4"/>
        </w:num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The Equality Act 2010</w:t>
      </w:r>
    </w:p>
    <w:p w14:paraId="72070D49" w14:textId="77777777" w:rsidR="009C382D" w:rsidRPr="009C382D" w:rsidRDefault="009C382D" w:rsidP="009C382D">
      <w:pPr>
        <w:numPr>
          <w:ilvl w:val="0"/>
          <w:numId w:val="4"/>
        </w:num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DfE guidance on exclusions (2023)</w:t>
      </w:r>
    </w:p>
    <w:p w14:paraId="13958D67" w14:textId="77777777" w:rsidR="009C382D" w:rsidRPr="009C382D" w:rsidRDefault="009C382D" w:rsidP="009C382D">
      <w:pPr>
        <w:numPr>
          <w:ilvl w:val="0"/>
          <w:numId w:val="4"/>
        </w:num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Post-16 statutory guidance for education providers</w:t>
      </w:r>
    </w:p>
    <w:p w14:paraId="6B5E60D6" w14:textId="77777777" w:rsidR="009C382D" w:rsidRPr="009C382D" w:rsidRDefault="009C382D" w:rsidP="009C382D">
      <w:pPr>
        <w:spacing w:before="100" w:beforeAutospacing="1" w:after="100" w:afterAutospacing="1"/>
        <w:rPr>
          <w:rFonts w:eastAsia="Times New Roman" w:cstheme="minorHAnsi"/>
          <w:sz w:val="28"/>
          <w:szCs w:val="28"/>
          <w:lang w:eastAsia="en-GB"/>
        </w:rPr>
      </w:pPr>
      <w:r w:rsidRPr="009C382D">
        <w:rPr>
          <w:rFonts w:eastAsia="Times New Roman" w:cstheme="minorHAnsi"/>
          <w:b/>
          <w:bCs/>
          <w:sz w:val="28"/>
          <w:szCs w:val="28"/>
          <w:lang w:eastAsia="en-GB"/>
        </w:rPr>
        <w:t>3. Code of Conduct and Learner Agreements</w:t>
      </w:r>
      <w:r w:rsidRPr="009C382D">
        <w:rPr>
          <w:rFonts w:eastAsia="Times New Roman" w:cstheme="minorHAnsi"/>
          <w:sz w:val="28"/>
          <w:szCs w:val="28"/>
          <w:lang w:eastAsia="en-GB"/>
        </w:rPr>
        <w:t xml:space="preserve"> All learners are expected to adhere to the institution’s Code of Conduct and Learner Agreement. These documents outline acceptable behaviour, attendance expectations, and academic standards. They serve as a foundation for promoting a safe and respectful learning environment for all.</w:t>
      </w:r>
    </w:p>
    <w:p w14:paraId="1EB5E955" w14:textId="77777777" w:rsidR="009C382D" w:rsidRPr="009C382D" w:rsidRDefault="009C382D" w:rsidP="009C382D">
      <w:pPr>
        <w:spacing w:before="100" w:beforeAutospacing="1" w:after="100" w:afterAutospacing="1"/>
        <w:rPr>
          <w:rFonts w:eastAsia="Times New Roman" w:cstheme="minorHAnsi"/>
          <w:sz w:val="28"/>
          <w:szCs w:val="28"/>
          <w:lang w:eastAsia="en-GB"/>
        </w:rPr>
      </w:pPr>
      <w:r w:rsidRPr="009C382D">
        <w:rPr>
          <w:rFonts w:eastAsia="Times New Roman" w:cstheme="minorHAnsi"/>
          <w:b/>
          <w:bCs/>
          <w:sz w:val="28"/>
          <w:szCs w:val="28"/>
          <w:lang w:eastAsia="en-GB"/>
        </w:rPr>
        <w:t>4. Grounds for Suspension and Exclusion</w:t>
      </w:r>
      <w:r w:rsidRPr="009C382D">
        <w:rPr>
          <w:rFonts w:eastAsia="Times New Roman" w:cstheme="minorHAnsi"/>
          <w:sz w:val="28"/>
          <w:szCs w:val="28"/>
          <w:lang w:eastAsia="en-GB"/>
        </w:rPr>
        <w:t xml:space="preserve"> The institution reserves the right to suspend or exclude learners in response to:</w:t>
      </w:r>
    </w:p>
    <w:p w14:paraId="43C51175" w14:textId="77777777" w:rsidR="009C382D" w:rsidRPr="009C382D" w:rsidRDefault="009C382D" w:rsidP="009C382D">
      <w:pPr>
        <w:numPr>
          <w:ilvl w:val="0"/>
          <w:numId w:val="5"/>
        </w:num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Serious breaches of the Code of Conduct</w:t>
      </w:r>
    </w:p>
    <w:p w14:paraId="7A3B9C74" w14:textId="77777777" w:rsidR="009C382D" w:rsidRPr="009C382D" w:rsidRDefault="009C382D" w:rsidP="009C382D">
      <w:pPr>
        <w:numPr>
          <w:ilvl w:val="0"/>
          <w:numId w:val="5"/>
        </w:num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Behaviour that threatens the safety and well-being of others</w:t>
      </w:r>
    </w:p>
    <w:p w14:paraId="5BEDFE02" w14:textId="77777777" w:rsidR="009C382D" w:rsidRPr="009C382D" w:rsidRDefault="009C382D" w:rsidP="009C382D">
      <w:pPr>
        <w:numPr>
          <w:ilvl w:val="0"/>
          <w:numId w:val="5"/>
        </w:num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Persistent disruptive behaviour despite interventions</w:t>
      </w:r>
    </w:p>
    <w:p w14:paraId="543673E8" w14:textId="77777777" w:rsidR="009C382D" w:rsidRPr="009C382D" w:rsidRDefault="009C382D" w:rsidP="009C382D">
      <w:pPr>
        <w:numPr>
          <w:ilvl w:val="0"/>
          <w:numId w:val="5"/>
        </w:num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Drug use, possession, or distribution</w:t>
      </w:r>
    </w:p>
    <w:p w14:paraId="48097BAC" w14:textId="77777777" w:rsidR="009C382D" w:rsidRPr="009C382D" w:rsidRDefault="009C382D" w:rsidP="009C382D">
      <w:pPr>
        <w:numPr>
          <w:ilvl w:val="0"/>
          <w:numId w:val="5"/>
        </w:num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Acts of violence, including verbal, physical, or threatening behaviour</w:t>
      </w:r>
    </w:p>
    <w:p w14:paraId="2EDA6102" w14:textId="77777777" w:rsidR="009C382D" w:rsidRPr="009C382D" w:rsidRDefault="009C382D" w:rsidP="009C382D">
      <w:pPr>
        <w:spacing w:before="100" w:beforeAutospacing="1" w:after="100" w:afterAutospacing="1"/>
        <w:rPr>
          <w:rFonts w:eastAsia="Times New Roman" w:cstheme="minorHAnsi"/>
          <w:sz w:val="28"/>
          <w:szCs w:val="28"/>
          <w:lang w:eastAsia="en-GB"/>
        </w:rPr>
      </w:pPr>
      <w:r w:rsidRPr="009C382D">
        <w:rPr>
          <w:rFonts w:eastAsia="Times New Roman" w:cstheme="minorHAnsi"/>
          <w:b/>
          <w:bCs/>
          <w:sz w:val="28"/>
          <w:szCs w:val="28"/>
          <w:lang w:eastAsia="en-GB"/>
        </w:rPr>
        <w:t>5. Drugs and Violence Policy</w:t>
      </w:r>
      <w:r w:rsidRPr="009C382D">
        <w:rPr>
          <w:rFonts w:eastAsia="Times New Roman" w:cstheme="minorHAnsi"/>
          <w:sz w:val="28"/>
          <w:szCs w:val="28"/>
          <w:lang w:eastAsia="en-GB"/>
        </w:rPr>
        <w:t xml:space="preserve"> Incidents involving drugs or violence will result in immediate suspension pending an investigation. A formal risk assessment will be conducted, and appropriate authorities may be involved if necessary. This approach is in line with safeguarding protocols and aims to maintain a safe educational environment.</w:t>
      </w:r>
    </w:p>
    <w:p w14:paraId="0AC8564F" w14:textId="77777777" w:rsidR="009C382D" w:rsidRPr="009C382D" w:rsidRDefault="009C382D" w:rsidP="009C382D">
      <w:pPr>
        <w:spacing w:before="100" w:beforeAutospacing="1" w:after="100" w:afterAutospacing="1"/>
        <w:rPr>
          <w:rFonts w:eastAsia="Times New Roman" w:cstheme="minorHAnsi"/>
          <w:sz w:val="28"/>
          <w:szCs w:val="28"/>
          <w:lang w:eastAsia="en-GB"/>
        </w:rPr>
      </w:pPr>
      <w:r w:rsidRPr="009C382D">
        <w:rPr>
          <w:rFonts w:eastAsia="Times New Roman" w:cstheme="minorHAnsi"/>
          <w:b/>
          <w:bCs/>
          <w:sz w:val="28"/>
          <w:szCs w:val="28"/>
          <w:lang w:eastAsia="en-GB"/>
        </w:rPr>
        <w:t>6. Considerations for Learners with EHCPs</w:t>
      </w:r>
      <w:r w:rsidRPr="009C382D">
        <w:rPr>
          <w:rFonts w:eastAsia="Times New Roman" w:cstheme="minorHAnsi"/>
          <w:sz w:val="28"/>
          <w:szCs w:val="28"/>
          <w:lang w:eastAsia="en-GB"/>
        </w:rPr>
        <w:t xml:space="preserve"> When considering suspension or exclusion for a learner with an EHCP, the following additional steps will be taken:</w:t>
      </w:r>
    </w:p>
    <w:p w14:paraId="42A3BA3D" w14:textId="7B074AFE" w:rsidR="009C382D" w:rsidRPr="009C382D" w:rsidRDefault="009C382D" w:rsidP="009C382D">
      <w:pPr>
        <w:numPr>
          <w:ilvl w:val="0"/>
          <w:numId w:val="6"/>
        </w:num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An emergency review of the EHCP to assess if additional support or alternative strategies could prevent exclusion</w:t>
      </w:r>
      <w:r>
        <w:rPr>
          <w:rFonts w:eastAsia="Times New Roman" w:cstheme="minorHAnsi"/>
          <w:sz w:val="28"/>
          <w:szCs w:val="28"/>
          <w:lang w:eastAsia="en-GB"/>
        </w:rPr>
        <w:t>.</w:t>
      </w:r>
    </w:p>
    <w:p w14:paraId="1E2C9014" w14:textId="222D4445" w:rsidR="009C382D" w:rsidRPr="009C382D" w:rsidRDefault="009C382D" w:rsidP="009C382D">
      <w:pPr>
        <w:numPr>
          <w:ilvl w:val="0"/>
          <w:numId w:val="6"/>
        </w:num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Consultation with parents, carers,</w:t>
      </w:r>
      <w:r>
        <w:rPr>
          <w:rFonts w:eastAsia="Times New Roman" w:cstheme="minorHAnsi"/>
          <w:sz w:val="28"/>
          <w:szCs w:val="28"/>
          <w:lang w:eastAsia="en-GB"/>
        </w:rPr>
        <w:t xml:space="preserve"> young person,</w:t>
      </w:r>
      <w:r w:rsidRPr="009C382D">
        <w:rPr>
          <w:rFonts w:eastAsia="Times New Roman" w:cstheme="minorHAnsi"/>
          <w:sz w:val="28"/>
          <w:szCs w:val="28"/>
          <w:lang w:eastAsia="en-GB"/>
        </w:rPr>
        <w:t xml:space="preserve"> and external agencies involved in the </w:t>
      </w:r>
      <w:proofErr w:type="gramStart"/>
      <w:r w:rsidRPr="009C382D">
        <w:rPr>
          <w:rFonts w:eastAsia="Times New Roman" w:cstheme="minorHAnsi"/>
          <w:sz w:val="28"/>
          <w:szCs w:val="28"/>
          <w:lang w:eastAsia="en-GB"/>
        </w:rPr>
        <w:t>EHCP</w:t>
      </w:r>
      <w:proofErr w:type="gramEnd"/>
    </w:p>
    <w:p w14:paraId="2EA0018B" w14:textId="308D2C2C" w:rsidR="009C382D" w:rsidRDefault="009C382D" w:rsidP="009C382D">
      <w:pPr>
        <w:numPr>
          <w:ilvl w:val="0"/>
          <w:numId w:val="6"/>
        </w:num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Exploration of reasonable adjustments to meet the learner’s needs</w:t>
      </w:r>
      <w:r>
        <w:rPr>
          <w:rFonts w:eastAsia="Times New Roman" w:cstheme="minorHAnsi"/>
          <w:sz w:val="28"/>
          <w:szCs w:val="28"/>
          <w:lang w:eastAsia="en-GB"/>
        </w:rPr>
        <w:t xml:space="preserve">, considering all previous adjustments. </w:t>
      </w:r>
    </w:p>
    <w:p w14:paraId="7F33B662" w14:textId="77777777" w:rsidR="009C382D" w:rsidRPr="009C382D" w:rsidRDefault="009C382D" w:rsidP="009C382D">
      <w:pPr>
        <w:spacing w:before="100" w:beforeAutospacing="1" w:after="100" w:afterAutospacing="1"/>
        <w:ind w:left="720"/>
        <w:rPr>
          <w:rFonts w:eastAsia="Times New Roman" w:cstheme="minorHAnsi"/>
          <w:sz w:val="28"/>
          <w:szCs w:val="28"/>
          <w:lang w:eastAsia="en-GB"/>
        </w:rPr>
      </w:pPr>
    </w:p>
    <w:p w14:paraId="4B6806C4" w14:textId="77777777" w:rsidR="009C382D" w:rsidRPr="009C382D" w:rsidRDefault="009C382D" w:rsidP="009C382D">
      <w:pPr>
        <w:spacing w:before="100" w:beforeAutospacing="1" w:after="100" w:afterAutospacing="1"/>
        <w:rPr>
          <w:rFonts w:eastAsia="Times New Roman" w:cstheme="minorHAnsi"/>
          <w:sz w:val="28"/>
          <w:szCs w:val="28"/>
          <w:lang w:eastAsia="en-GB"/>
        </w:rPr>
      </w:pPr>
      <w:r w:rsidRPr="009C382D">
        <w:rPr>
          <w:rFonts w:eastAsia="Times New Roman" w:cstheme="minorHAnsi"/>
          <w:b/>
          <w:bCs/>
          <w:sz w:val="28"/>
          <w:szCs w:val="28"/>
          <w:lang w:eastAsia="en-GB"/>
        </w:rPr>
        <w:t>7. Investigation and Decision-Making Process</w:t>
      </w:r>
      <w:r w:rsidRPr="009C382D">
        <w:rPr>
          <w:rFonts w:eastAsia="Times New Roman" w:cstheme="minorHAnsi"/>
          <w:sz w:val="28"/>
          <w:szCs w:val="28"/>
          <w:lang w:eastAsia="en-GB"/>
        </w:rPr>
        <w:t xml:space="preserve"> A fair and thorough investigation will be conducted for all incidents. Learners and relevant parties will be given the opportunity to provide their perspective. Decisions on suspensions or exclusions will consider the learner’s SEN status and EHCP provisions.</w:t>
      </w:r>
    </w:p>
    <w:p w14:paraId="70D85BCD" w14:textId="77777777" w:rsidR="009C382D" w:rsidRPr="009C382D" w:rsidRDefault="009C382D" w:rsidP="009C382D">
      <w:pPr>
        <w:spacing w:before="100" w:beforeAutospacing="1" w:after="100" w:afterAutospacing="1"/>
        <w:rPr>
          <w:rFonts w:eastAsia="Times New Roman" w:cstheme="minorHAnsi"/>
          <w:sz w:val="28"/>
          <w:szCs w:val="28"/>
          <w:lang w:eastAsia="en-GB"/>
        </w:rPr>
      </w:pPr>
      <w:r w:rsidRPr="009C382D">
        <w:rPr>
          <w:rFonts w:eastAsia="Times New Roman" w:cstheme="minorHAnsi"/>
          <w:b/>
          <w:bCs/>
          <w:sz w:val="28"/>
          <w:szCs w:val="28"/>
          <w:lang w:eastAsia="en-GB"/>
        </w:rPr>
        <w:t>8. Support During Suspension</w:t>
      </w:r>
      <w:r w:rsidRPr="009C382D">
        <w:rPr>
          <w:rFonts w:eastAsia="Times New Roman" w:cstheme="minorHAnsi"/>
          <w:sz w:val="28"/>
          <w:szCs w:val="28"/>
          <w:lang w:eastAsia="en-GB"/>
        </w:rPr>
        <w:t xml:space="preserve"> During a suspension, learners with SEN will continue to receive appropriate educational support, including access to learning materials and virtual or alternative learning arrangements where feasible.</w:t>
      </w:r>
    </w:p>
    <w:p w14:paraId="3746B611" w14:textId="3E5B6730" w:rsidR="009C382D" w:rsidRPr="009C382D" w:rsidRDefault="009C382D" w:rsidP="009C382D">
      <w:pPr>
        <w:spacing w:before="100" w:beforeAutospacing="1" w:after="100" w:afterAutospacing="1"/>
        <w:rPr>
          <w:rFonts w:eastAsia="Times New Roman" w:cstheme="minorHAnsi"/>
          <w:sz w:val="28"/>
          <w:szCs w:val="28"/>
          <w:lang w:eastAsia="en-GB"/>
        </w:rPr>
      </w:pPr>
      <w:r w:rsidRPr="009C382D">
        <w:rPr>
          <w:rFonts w:eastAsia="Times New Roman" w:cstheme="minorHAnsi"/>
          <w:b/>
          <w:bCs/>
          <w:sz w:val="28"/>
          <w:szCs w:val="28"/>
          <w:lang w:eastAsia="en-GB"/>
        </w:rPr>
        <w:t>9. Appeals Process</w:t>
      </w:r>
      <w:r w:rsidRPr="009C382D">
        <w:rPr>
          <w:rFonts w:eastAsia="Times New Roman" w:cstheme="minorHAnsi"/>
          <w:sz w:val="28"/>
          <w:szCs w:val="28"/>
          <w:lang w:eastAsia="en-GB"/>
        </w:rPr>
        <w:t xml:space="preserve"> If a learner or their parent/carer</w:t>
      </w:r>
      <w:r>
        <w:rPr>
          <w:rFonts w:eastAsia="Times New Roman" w:cstheme="minorHAnsi"/>
          <w:sz w:val="28"/>
          <w:szCs w:val="28"/>
          <w:lang w:eastAsia="en-GB"/>
        </w:rPr>
        <w:t>/young person</w:t>
      </w:r>
      <w:r w:rsidRPr="009C382D">
        <w:rPr>
          <w:rFonts w:eastAsia="Times New Roman" w:cstheme="minorHAnsi"/>
          <w:sz w:val="28"/>
          <w:szCs w:val="28"/>
          <w:lang w:eastAsia="en-GB"/>
        </w:rPr>
        <w:t xml:space="preserve"> disagrees with a suspension or exclusion decision, they have the right to appeal. The appeals process involves:</w:t>
      </w:r>
    </w:p>
    <w:p w14:paraId="2EC387EA" w14:textId="77777777" w:rsidR="009C382D" w:rsidRPr="009C382D" w:rsidRDefault="009C382D" w:rsidP="009C382D">
      <w:pPr>
        <w:numPr>
          <w:ilvl w:val="0"/>
          <w:numId w:val="7"/>
        </w:num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Submitting a written appeal within 10 working days of the decision</w:t>
      </w:r>
    </w:p>
    <w:p w14:paraId="1E41D867" w14:textId="77777777" w:rsidR="009C382D" w:rsidRPr="009C382D" w:rsidRDefault="009C382D" w:rsidP="009C382D">
      <w:pPr>
        <w:numPr>
          <w:ilvl w:val="0"/>
          <w:numId w:val="7"/>
        </w:num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 xml:space="preserve">An independent panel review, including members not previously involved in the </w:t>
      </w:r>
      <w:proofErr w:type="gramStart"/>
      <w:r w:rsidRPr="009C382D">
        <w:rPr>
          <w:rFonts w:eastAsia="Times New Roman" w:cstheme="minorHAnsi"/>
          <w:sz w:val="28"/>
          <w:szCs w:val="28"/>
          <w:lang w:eastAsia="en-GB"/>
        </w:rPr>
        <w:t>case</w:t>
      </w:r>
      <w:proofErr w:type="gramEnd"/>
    </w:p>
    <w:p w14:paraId="5F17AA54" w14:textId="77777777" w:rsidR="009C382D" w:rsidRPr="009C382D" w:rsidRDefault="009C382D" w:rsidP="009C382D">
      <w:pPr>
        <w:numPr>
          <w:ilvl w:val="0"/>
          <w:numId w:val="7"/>
        </w:num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 xml:space="preserve">Consideration of all evidence, including SEN and EHCP </w:t>
      </w:r>
      <w:proofErr w:type="gramStart"/>
      <w:r w:rsidRPr="009C382D">
        <w:rPr>
          <w:rFonts w:eastAsia="Times New Roman" w:cstheme="minorHAnsi"/>
          <w:sz w:val="28"/>
          <w:szCs w:val="28"/>
          <w:lang w:eastAsia="en-GB"/>
        </w:rPr>
        <w:t>needs</w:t>
      </w:r>
      <w:proofErr w:type="gramEnd"/>
    </w:p>
    <w:p w14:paraId="29EE3A39" w14:textId="77777777" w:rsidR="009C382D" w:rsidRPr="009C382D" w:rsidRDefault="009C382D" w:rsidP="009C382D">
      <w:pPr>
        <w:numPr>
          <w:ilvl w:val="0"/>
          <w:numId w:val="7"/>
        </w:num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 xml:space="preserve">A final decision communicated in writing within 5 working days of the appeal </w:t>
      </w:r>
      <w:proofErr w:type="gramStart"/>
      <w:r w:rsidRPr="009C382D">
        <w:rPr>
          <w:rFonts w:eastAsia="Times New Roman" w:cstheme="minorHAnsi"/>
          <w:sz w:val="28"/>
          <w:szCs w:val="28"/>
          <w:lang w:eastAsia="en-GB"/>
        </w:rPr>
        <w:t>hearing</w:t>
      </w:r>
      <w:proofErr w:type="gramEnd"/>
    </w:p>
    <w:p w14:paraId="333C7127" w14:textId="77777777" w:rsidR="009C382D" w:rsidRPr="009C382D" w:rsidRDefault="009C382D" w:rsidP="009C382D">
      <w:pPr>
        <w:spacing w:before="100" w:beforeAutospacing="1" w:after="100" w:afterAutospacing="1"/>
        <w:rPr>
          <w:rFonts w:eastAsia="Times New Roman" w:cstheme="minorHAnsi"/>
          <w:sz w:val="28"/>
          <w:szCs w:val="28"/>
          <w:lang w:eastAsia="en-GB"/>
        </w:rPr>
      </w:pPr>
      <w:r w:rsidRPr="009C382D">
        <w:rPr>
          <w:rFonts w:eastAsia="Times New Roman" w:cstheme="minorHAnsi"/>
          <w:b/>
          <w:bCs/>
          <w:sz w:val="28"/>
          <w:szCs w:val="28"/>
          <w:lang w:eastAsia="en-GB"/>
        </w:rPr>
        <w:t>10. Conclusion</w:t>
      </w:r>
      <w:r w:rsidRPr="009C382D">
        <w:rPr>
          <w:rFonts w:eastAsia="Times New Roman" w:cstheme="minorHAnsi"/>
          <w:sz w:val="28"/>
          <w:szCs w:val="28"/>
          <w:lang w:eastAsia="en-GB"/>
        </w:rPr>
        <w:t xml:space="preserve"> This policy aims to balance the need for discipline with the institution’s duty to support all learners, particularly those with SEN. Maintaining a safe and inclusive environment is paramount, and every effort will be made to support learners at risk of exclusion while upholding the integrity of the educational setting.</w:t>
      </w:r>
    </w:p>
    <w:p w14:paraId="30CDB3D8" w14:textId="79F4E294" w:rsidR="009C382D" w:rsidRPr="009C382D" w:rsidRDefault="009C382D" w:rsidP="009C382D">
      <w:pPr>
        <w:spacing w:before="100" w:beforeAutospacing="1" w:after="100" w:afterAutospacing="1"/>
        <w:rPr>
          <w:rFonts w:eastAsia="Times New Roman" w:cstheme="minorHAnsi"/>
          <w:sz w:val="28"/>
          <w:szCs w:val="28"/>
          <w:lang w:eastAsia="en-GB"/>
        </w:rPr>
      </w:pPr>
      <w:r w:rsidRPr="009C382D">
        <w:rPr>
          <w:rFonts w:eastAsia="Times New Roman" w:cstheme="minorHAnsi"/>
          <w:sz w:val="28"/>
          <w:szCs w:val="28"/>
          <w:lang w:eastAsia="en-GB"/>
        </w:rPr>
        <w:t>For further information, please refer to the full Code of Conduct and Learner Agreement documents or contact the SEN team.</w:t>
      </w:r>
    </w:p>
    <w:p w14:paraId="5A5B2C3B" w14:textId="77777777" w:rsidR="009C382D" w:rsidRPr="009C382D" w:rsidRDefault="009C382D" w:rsidP="009C382D">
      <w:pPr>
        <w:spacing w:before="100" w:beforeAutospacing="1" w:after="100" w:afterAutospacing="1"/>
        <w:rPr>
          <w:rFonts w:eastAsia="Times New Roman" w:cstheme="minorHAnsi"/>
          <w:sz w:val="28"/>
          <w:szCs w:val="28"/>
          <w:lang w:eastAsia="en-GB"/>
        </w:rPr>
      </w:pPr>
    </w:p>
    <w:p w14:paraId="438BD759" w14:textId="77777777" w:rsidR="009C382D" w:rsidRPr="009C382D" w:rsidRDefault="009C382D" w:rsidP="009C382D">
      <w:pPr>
        <w:spacing w:before="100" w:beforeAutospacing="1" w:after="100" w:afterAutospacing="1"/>
        <w:rPr>
          <w:rFonts w:eastAsia="Times New Roman" w:cstheme="minorHAnsi"/>
          <w:sz w:val="28"/>
          <w:szCs w:val="28"/>
          <w:lang w:eastAsia="en-GB"/>
        </w:rPr>
      </w:pPr>
    </w:p>
    <w:p w14:paraId="6CD56FF0" w14:textId="77777777" w:rsidR="00A041B9" w:rsidRPr="009C382D" w:rsidRDefault="00A041B9">
      <w:pPr>
        <w:rPr>
          <w:rFonts w:cstheme="minorHAnsi"/>
          <w:sz w:val="28"/>
          <w:szCs w:val="28"/>
        </w:rPr>
      </w:pPr>
    </w:p>
    <w:sectPr w:rsidR="00A041B9" w:rsidRPr="009C382D" w:rsidSect="009C382D">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BDF"/>
    <w:multiLevelType w:val="multilevel"/>
    <w:tmpl w:val="4EDE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806C0"/>
    <w:multiLevelType w:val="multilevel"/>
    <w:tmpl w:val="4D2C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323E1"/>
    <w:multiLevelType w:val="multilevel"/>
    <w:tmpl w:val="44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47FF2"/>
    <w:multiLevelType w:val="multilevel"/>
    <w:tmpl w:val="6B38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66078"/>
    <w:multiLevelType w:val="multilevel"/>
    <w:tmpl w:val="27A0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6638F"/>
    <w:multiLevelType w:val="multilevel"/>
    <w:tmpl w:val="4BA2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186A52"/>
    <w:multiLevelType w:val="multilevel"/>
    <w:tmpl w:val="25D0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245355">
    <w:abstractNumId w:val="2"/>
  </w:num>
  <w:num w:numId="2" w16cid:durableId="2041659214">
    <w:abstractNumId w:val="5"/>
  </w:num>
  <w:num w:numId="3" w16cid:durableId="247423614">
    <w:abstractNumId w:val="6"/>
  </w:num>
  <w:num w:numId="4" w16cid:durableId="281569660">
    <w:abstractNumId w:val="1"/>
  </w:num>
  <w:num w:numId="5" w16cid:durableId="904098940">
    <w:abstractNumId w:val="0"/>
  </w:num>
  <w:num w:numId="6" w16cid:durableId="398405364">
    <w:abstractNumId w:val="4"/>
  </w:num>
  <w:num w:numId="7" w16cid:durableId="1494377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2D"/>
    <w:rsid w:val="002E21FB"/>
    <w:rsid w:val="003E00E2"/>
    <w:rsid w:val="00546855"/>
    <w:rsid w:val="009C382D"/>
    <w:rsid w:val="00A04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EB08"/>
  <w15:chartTrackingRefBased/>
  <w15:docId w15:val="{4CC0E90D-7BEE-F645-BEAD-D4E380CB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82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C3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605043">
      <w:bodyDiv w:val="1"/>
      <w:marLeft w:val="0"/>
      <w:marRight w:val="0"/>
      <w:marTop w:val="0"/>
      <w:marBottom w:val="0"/>
      <w:divBdr>
        <w:top w:val="none" w:sz="0" w:space="0" w:color="auto"/>
        <w:left w:val="none" w:sz="0" w:space="0" w:color="auto"/>
        <w:bottom w:val="none" w:sz="0" w:space="0" w:color="auto"/>
        <w:right w:val="none" w:sz="0" w:space="0" w:color="auto"/>
      </w:divBdr>
    </w:div>
    <w:div w:id="14140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Elliott</dc:creator>
  <cp:keywords/>
  <dc:description/>
  <cp:lastModifiedBy>Charlie Elliott</cp:lastModifiedBy>
  <cp:revision>2</cp:revision>
  <dcterms:created xsi:type="dcterms:W3CDTF">2025-04-24T09:34:00Z</dcterms:created>
  <dcterms:modified xsi:type="dcterms:W3CDTF">2025-04-24T09:34:00Z</dcterms:modified>
</cp:coreProperties>
</file>